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22" w:rsidRDefault="0064117E">
      <w:pPr>
        <w:spacing w:before="59"/>
        <w:ind w:left="4129" w:right="4148"/>
        <w:jc w:val="center"/>
        <w:rPr>
          <w:b/>
          <w:sz w:val="32"/>
        </w:rPr>
      </w:pPr>
      <w:r>
        <w:rPr>
          <w:b/>
          <w:sz w:val="32"/>
        </w:rPr>
        <w:t>Income Limits</w:t>
      </w:r>
    </w:p>
    <w:p w:rsidR="00037022" w:rsidRDefault="00037022">
      <w:pPr>
        <w:pStyle w:val="BodyText"/>
        <w:spacing w:before="8"/>
        <w:rPr>
          <w:b/>
          <w:sz w:val="31"/>
        </w:rPr>
      </w:pPr>
    </w:p>
    <w:p w:rsidR="00037022" w:rsidRDefault="0064117E">
      <w:pPr>
        <w:pStyle w:val="BodyText"/>
        <w:spacing w:line="360" w:lineRule="auto"/>
        <w:ind w:left="100" w:right="113"/>
        <w:jc w:val="both"/>
      </w:pPr>
      <w:r>
        <w:t>HDFCs are required to house people who are low-income. Different HDFCs have different eligibility definitions, or ways of determining who qualifies as low income. These are contained in the</w:t>
      </w:r>
    </w:p>
    <w:p w:rsidR="00037022" w:rsidRDefault="0064117E">
      <w:pPr>
        <w:pStyle w:val="BodyText"/>
        <w:ind w:left="100"/>
      </w:pPr>
      <w:r>
        <w:t>Certificate of Incorporation.</w:t>
      </w:r>
    </w:p>
    <w:p w:rsidR="00037022" w:rsidRDefault="00037022">
      <w:pPr>
        <w:pStyle w:val="BodyText"/>
        <w:rPr>
          <w:sz w:val="26"/>
        </w:rPr>
      </w:pPr>
    </w:p>
    <w:p w:rsidR="00037022" w:rsidRDefault="00037022">
      <w:pPr>
        <w:pStyle w:val="BodyText"/>
        <w:rPr>
          <w:sz w:val="22"/>
        </w:rPr>
      </w:pPr>
    </w:p>
    <w:p w:rsidR="00037022" w:rsidRDefault="0064117E">
      <w:pPr>
        <w:pStyle w:val="BodyText"/>
        <w:spacing w:line="360" w:lineRule="auto"/>
        <w:ind w:left="100" w:right="116"/>
        <w:jc w:val="both"/>
      </w:pPr>
      <w:r>
        <w:t xml:space="preserve">Some HDFCs use </w:t>
      </w:r>
      <w:r>
        <w:rPr>
          <w:b/>
        </w:rPr>
        <w:t xml:space="preserve">Section 576 </w:t>
      </w:r>
      <w:r>
        <w:t>of the NYS Private Housing Finance Law and some use percentages of median income. Section 576(1)(b) states that “Dwellings in any such project shall be available for persons or families whose probable aggregate annual income does not exceed six</w:t>
      </w:r>
      <w:r>
        <w:t xml:space="preserve"> times the rental (including the value or cost to them of heat, light, water and cooking fuel) of the dwellings to be furnished such persons or families, except that in the case of persons or families with three or more dependents, such ratio shall not exc</w:t>
      </w:r>
      <w:r>
        <w:t>eed seven to one…”</w:t>
      </w:r>
    </w:p>
    <w:p w:rsidR="00037022" w:rsidRDefault="00037022">
      <w:pPr>
        <w:pStyle w:val="BodyText"/>
        <w:spacing w:before="11"/>
        <w:rPr>
          <w:sz w:val="35"/>
        </w:rPr>
      </w:pPr>
    </w:p>
    <w:p w:rsidR="00037022" w:rsidRDefault="0064117E">
      <w:pPr>
        <w:pStyle w:val="BodyText"/>
        <w:spacing w:line="360" w:lineRule="auto"/>
        <w:ind w:left="100"/>
      </w:pPr>
      <w:r>
        <w:t>For an HDFC under 576 that means that the maximum income is 6 times the annual maintenance + utilities for a person/family with 2 or less dependents and 7 times the maintenance + utilities for family with 3 or more dependents.</w:t>
      </w:r>
    </w:p>
    <w:p w:rsidR="00037022" w:rsidRDefault="00037022">
      <w:pPr>
        <w:pStyle w:val="BodyText"/>
        <w:rPr>
          <w:sz w:val="36"/>
        </w:rPr>
      </w:pPr>
    </w:p>
    <w:p w:rsidR="00037022" w:rsidRDefault="0064117E">
      <w:pPr>
        <w:pStyle w:val="BodyText"/>
        <w:spacing w:line="360" w:lineRule="auto"/>
        <w:ind w:left="100" w:right="143"/>
      </w:pPr>
      <w:r>
        <w:t>For exam</w:t>
      </w:r>
      <w:r>
        <w:t>ple if the monthly maintenance fee is $500 and the electric and gas bills total $720 per year. For a single person the income limit calculation would</w:t>
      </w:r>
      <w:r>
        <w:rPr>
          <w:spacing w:val="-4"/>
        </w:rPr>
        <w:t xml:space="preserve"> </w:t>
      </w:r>
      <w:r>
        <w:t>be:</w:t>
      </w:r>
    </w:p>
    <w:p w:rsidR="00037022" w:rsidRDefault="0064117E">
      <w:pPr>
        <w:pStyle w:val="BodyText"/>
        <w:spacing w:before="1" w:line="360" w:lineRule="auto"/>
        <w:ind w:left="100"/>
      </w:pPr>
      <w:r>
        <w:t>$500 x 12 months = $6,000 annual maintenance x 6 =$36,000 + $720 utilities per year = $36,720 total in</w:t>
      </w:r>
      <w:r>
        <w:t>come</w:t>
      </w:r>
    </w:p>
    <w:p w:rsidR="00037022" w:rsidRDefault="00037022">
      <w:pPr>
        <w:pStyle w:val="BodyText"/>
        <w:spacing w:before="10"/>
        <w:rPr>
          <w:sz w:val="35"/>
        </w:rPr>
      </w:pPr>
    </w:p>
    <w:p w:rsidR="00037022" w:rsidRDefault="0064117E">
      <w:pPr>
        <w:pStyle w:val="BodyText"/>
        <w:spacing w:line="360" w:lineRule="auto"/>
        <w:ind w:left="100" w:right="114"/>
        <w:jc w:val="both"/>
      </w:pPr>
      <w:r>
        <w:t xml:space="preserve">For buildings using </w:t>
      </w:r>
      <w:r>
        <w:rPr>
          <w:b/>
        </w:rPr>
        <w:t>Area Median Income Guidelines</w:t>
      </w:r>
      <w:r>
        <w:t>, a common definition of low- income is earning 80% or less of the median income for the metropolitan area. Median income is determined by the U.S. Dept. of Housing and Urban Development; those figures</w:t>
      </w:r>
      <w:r>
        <w:t xml:space="preserve"> are listed in the chart below. This number may look high to you; the median income is determined for the entire New York City metropolitan area. Remember they are maximums. Any HDFC can decide to set its income limits lower than these numbers by amending </w:t>
      </w:r>
      <w:r>
        <w:t>its</w:t>
      </w:r>
    </w:p>
    <w:p w:rsidR="00037022" w:rsidRDefault="0064117E">
      <w:pPr>
        <w:pStyle w:val="BodyText"/>
        <w:spacing w:before="1"/>
        <w:ind w:left="100"/>
      </w:pPr>
      <w:r>
        <w:t>by-laws.</w:t>
      </w:r>
    </w:p>
    <w:p w:rsidR="00037022" w:rsidRDefault="00037022">
      <w:pPr>
        <w:pStyle w:val="BodyText"/>
        <w:rPr>
          <w:sz w:val="26"/>
        </w:rPr>
      </w:pPr>
    </w:p>
    <w:p w:rsidR="00037022" w:rsidRDefault="00037022">
      <w:pPr>
        <w:pStyle w:val="BodyText"/>
        <w:rPr>
          <w:sz w:val="22"/>
        </w:rPr>
      </w:pPr>
    </w:p>
    <w:p w:rsidR="00037022" w:rsidRDefault="0064117E">
      <w:pPr>
        <w:pStyle w:val="BodyText"/>
        <w:spacing w:line="360" w:lineRule="auto"/>
        <w:ind w:left="100" w:right="143" w:firstLine="60"/>
      </w:pPr>
      <w:r>
        <w:t>(In some cases, HDFCs may actually be allowed to house people considered "moderate income," or up to 120% of median income so those numbers have been included as well.)</w:t>
      </w:r>
    </w:p>
    <w:p w:rsidR="00037022" w:rsidRDefault="00037022">
      <w:pPr>
        <w:spacing w:line="360" w:lineRule="auto"/>
        <w:sectPr w:rsidR="00037022">
          <w:headerReference w:type="default" r:id="rId6"/>
          <w:type w:val="continuous"/>
          <w:pgSz w:w="12240" w:h="15840"/>
          <w:pgMar w:top="1020" w:right="960" w:bottom="280" w:left="980" w:header="720" w:footer="720" w:gutter="0"/>
          <w:cols w:space="720"/>
        </w:sectPr>
      </w:pPr>
    </w:p>
    <w:p w:rsidR="00037022" w:rsidRDefault="0064117E">
      <w:pPr>
        <w:pStyle w:val="BodyText"/>
        <w:spacing w:before="74" w:line="360" w:lineRule="auto"/>
        <w:ind w:left="100"/>
      </w:pPr>
      <w:r>
        <w:lastRenderedPageBreak/>
        <w:t>We believe HDFCs have a duty to keep both monthly charges and purchase prices at levels that will be affordable to low-income households, even if households of moderate or middle income are eligible to purchase. The total housing cost, which is the combina</w:t>
      </w:r>
      <w:r>
        <w:t>tion of the monthly charges and any financing or debt service, should not be so high as to exclude a range of people with incomes below 80% of AMI.</w:t>
      </w:r>
    </w:p>
    <w:p w:rsidR="00037022" w:rsidRDefault="00037022">
      <w:pPr>
        <w:pStyle w:val="BodyText"/>
        <w:rPr>
          <w:sz w:val="26"/>
        </w:rPr>
      </w:pPr>
      <w:bookmarkStart w:id="0" w:name="_GoBack"/>
      <w:bookmarkEnd w:id="0"/>
    </w:p>
    <w:p w:rsidR="00037022" w:rsidRDefault="00037022">
      <w:pPr>
        <w:pStyle w:val="BodyText"/>
        <w:spacing w:before="8"/>
        <w:rPr>
          <w:sz w:val="31"/>
        </w:rPr>
      </w:pPr>
    </w:p>
    <w:p w:rsidR="00037022" w:rsidRPr="0064117E" w:rsidRDefault="0064117E">
      <w:pPr>
        <w:pStyle w:val="BodyText"/>
        <w:spacing w:before="1"/>
        <w:ind w:left="100"/>
        <w:rPr>
          <w:b/>
        </w:rPr>
      </w:pPr>
      <w:r w:rsidRPr="0064117E">
        <w:rPr>
          <w:b/>
        </w:rPr>
        <w:pict>
          <v:polyline id="_x0000_s1027" style="position:absolute;left:0;text-align:left;z-index:251662336;mso-position-horizontal-relative:page" points="161.05pt,41.5pt,160.1pt,41.5pt,159.6pt,41.5pt,159.6pt,41.95pt,159.6pt,43.05pt,160.1pt,43.05pt,160.1pt,41.95pt,161.05pt,41.95pt,161.05pt,41.5pt" coordorigin="1596,415" coordsize="29,32" fillcolor="black" stroked="f">
            <v:path arrowok="t"/>
            <w10:wrap anchorx="page"/>
          </v:polyline>
        </w:pict>
      </w:r>
      <w:r w:rsidRPr="0064117E">
        <w:rPr>
          <w:b/>
        </w:rPr>
        <w:t>Income Limits for Fiscal Year 2020:</w:t>
      </w:r>
    </w:p>
    <w:p w:rsidR="00037022" w:rsidRDefault="00037022">
      <w:pPr>
        <w:pStyle w:val="BodyText"/>
        <w:spacing w:before="9"/>
        <w:rPr>
          <w:sz w:val="12"/>
        </w:rPr>
      </w:pPr>
    </w:p>
    <w:tbl>
      <w:tblPr>
        <w:tblW w:w="0" w:type="auto"/>
        <w:tblInd w:w="64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543"/>
        <w:gridCol w:w="1496"/>
        <w:gridCol w:w="1493"/>
        <w:gridCol w:w="1495"/>
        <w:gridCol w:w="1498"/>
        <w:gridCol w:w="1498"/>
      </w:tblGrid>
      <w:tr w:rsidR="00037022">
        <w:trPr>
          <w:trHeight w:val="2161"/>
        </w:trPr>
        <w:tc>
          <w:tcPr>
            <w:tcW w:w="1543" w:type="dxa"/>
          </w:tcPr>
          <w:p w:rsidR="00037022" w:rsidRDefault="0064117E">
            <w:pPr>
              <w:pStyle w:val="TableParagraph"/>
              <w:spacing w:line="240" w:lineRule="auto"/>
              <w:ind w:left="97" w:right="356"/>
              <w:jc w:val="left"/>
              <w:rPr>
                <w:sz w:val="24"/>
              </w:rPr>
            </w:pPr>
            <w:r>
              <w:rPr>
                <w:sz w:val="24"/>
              </w:rPr>
              <w:t>Household Size</w:t>
            </w:r>
          </w:p>
        </w:tc>
        <w:tc>
          <w:tcPr>
            <w:tcW w:w="1496" w:type="dxa"/>
          </w:tcPr>
          <w:p w:rsidR="00037022" w:rsidRDefault="0064117E">
            <w:pPr>
              <w:pStyle w:val="TableParagraph"/>
              <w:spacing w:line="240" w:lineRule="auto"/>
              <w:ind w:left="97" w:right="298"/>
              <w:jc w:val="left"/>
              <w:rPr>
                <w:sz w:val="24"/>
              </w:rPr>
            </w:pPr>
            <w:r>
              <w:rPr>
                <w:sz w:val="24"/>
              </w:rPr>
              <w:t>~30% of median: common cut-off for “extremely</w:t>
            </w:r>
          </w:p>
          <w:p w:rsidR="00037022" w:rsidRDefault="0064117E">
            <w:pPr>
              <w:pStyle w:val="TableParagraph"/>
              <w:spacing w:line="240" w:lineRule="auto"/>
              <w:ind w:left="97" w:right="96"/>
              <w:jc w:val="left"/>
              <w:rPr>
                <w:sz w:val="24"/>
              </w:rPr>
            </w:pPr>
            <w:r>
              <w:rPr>
                <w:sz w:val="24"/>
              </w:rPr>
              <w:t>low-income” restrictions</w:t>
            </w:r>
          </w:p>
        </w:tc>
        <w:tc>
          <w:tcPr>
            <w:tcW w:w="1493" w:type="dxa"/>
          </w:tcPr>
          <w:p w:rsidR="00037022" w:rsidRDefault="0064117E">
            <w:pPr>
              <w:pStyle w:val="TableParagraph"/>
              <w:spacing w:line="240" w:lineRule="auto"/>
              <w:ind w:left="95" w:right="499"/>
              <w:jc w:val="left"/>
              <w:rPr>
                <w:sz w:val="24"/>
              </w:rPr>
            </w:pPr>
            <w:r>
              <w:rPr>
                <w:sz w:val="24"/>
              </w:rPr>
              <w:t>50% of median: common cut-off for "very</w:t>
            </w:r>
          </w:p>
          <w:p w:rsidR="00037022" w:rsidRDefault="0064117E">
            <w:pPr>
              <w:pStyle w:val="TableParagraph"/>
              <w:spacing w:line="240" w:lineRule="auto"/>
              <w:ind w:left="95" w:right="0"/>
              <w:jc w:val="left"/>
              <w:rPr>
                <w:sz w:val="24"/>
              </w:rPr>
            </w:pPr>
            <w:r>
              <w:rPr>
                <w:sz w:val="24"/>
              </w:rPr>
              <w:t>low-income" restrictions</w:t>
            </w:r>
          </w:p>
        </w:tc>
        <w:tc>
          <w:tcPr>
            <w:tcW w:w="1495" w:type="dxa"/>
          </w:tcPr>
          <w:p w:rsidR="00037022" w:rsidRDefault="0064117E">
            <w:pPr>
              <w:pStyle w:val="TableParagraph"/>
              <w:spacing w:line="240" w:lineRule="auto"/>
              <w:ind w:left="97" w:right="300"/>
              <w:jc w:val="left"/>
              <w:rPr>
                <w:sz w:val="24"/>
              </w:rPr>
            </w:pPr>
            <w:r>
              <w:rPr>
                <w:sz w:val="24"/>
              </w:rPr>
              <w:t>80% of median: common cut-off for "low- income" restrictions</w:t>
            </w:r>
          </w:p>
        </w:tc>
        <w:tc>
          <w:tcPr>
            <w:tcW w:w="1498" w:type="dxa"/>
          </w:tcPr>
          <w:p w:rsidR="00037022" w:rsidRDefault="0064117E">
            <w:pPr>
              <w:pStyle w:val="TableParagraph"/>
              <w:spacing w:line="240" w:lineRule="auto"/>
              <w:ind w:left="96" w:right="300"/>
              <w:jc w:val="left"/>
              <w:rPr>
                <w:sz w:val="24"/>
              </w:rPr>
            </w:pPr>
            <w:r>
              <w:rPr>
                <w:sz w:val="24"/>
              </w:rPr>
              <w:t>100% of median: within the range of "moderate- income" restrictions</w:t>
            </w:r>
          </w:p>
        </w:tc>
        <w:tc>
          <w:tcPr>
            <w:tcW w:w="1498" w:type="dxa"/>
          </w:tcPr>
          <w:p w:rsidR="00037022" w:rsidRDefault="0064117E">
            <w:pPr>
              <w:pStyle w:val="TableParagraph"/>
              <w:spacing w:line="240" w:lineRule="auto"/>
              <w:ind w:left="98" w:right="283"/>
              <w:jc w:val="left"/>
              <w:rPr>
                <w:sz w:val="24"/>
              </w:rPr>
            </w:pPr>
            <w:r>
              <w:rPr>
                <w:sz w:val="24"/>
              </w:rPr>
              <w:t>120% of median: "moderate income"</w:t>
            </w:r>
            <w:r>
              <w:rPr>
                <w:sz w:val="24"/>
              </w:rPr>
              <w:t xml:space="preserve"> restrictions</w:t>
            </w:r>
          </w:p>
        </w:tc>
      </w:tr>
      <w:tr w:rsidR="00037022">
        <w:trPr>
          <w:trHeight w:val="510"/>
        </w:trPr>
        <w:tc>
          <w:tcPr>
            <w:tcW w:w="1543" w:type="dxa"/>
          </w:tcPr>
          <w:p w:rsidR="00037022" w:rsidRDefault="0064117E">
            <w:pPr>
              <w:pStyle w:val="TableParagraph"/>
              <w:spacing w:before="176" w:line="240" w:lineRule="auto"/>
              <w:ind w:left="97" w:right="0"/>
              <w:jc w:val="left"/>
              <w:rPr>
                <w:sz w:val="24"/>
              </w:rPr>
            </w:pPr>
            <w:r>
              <w:rPr>
                <w:sz w:val="24"/>
              </w:rPr>
              <w:t>1</w:t>
            </w:r>
          </w:p>
        </w:tc>
        <w:tc>
          <w:tcPr>
            <w:tcW w:w="1496" w:type="dxa"/>
          </w:tcPr>
          <w:p w:rsidR="00037022" w:rsidRDefault="0064117E">
            <w:pPr>
              <w:pStyle w:val="TableParagraph"/>
              <w:rPr>
                <w:sz w:val="24"/>
              </w:rPr>
            </w:pPr>
            <w:r>
              <w:rPr>
                <w:sz w:val="24"/>
              </w:rPr>
              <w:t>$23,900</w:t>
            </w:r>
          </w:p>
        </w:tc>
        <w:tc>
          <w:tcPr>
            <w:tcW w:w="1493" w:type="dxa"/>
          </w:tcPr>
          <w:p w:rsidR="00037022" w:rsidRDefault="0064117E">
            <w:pPr>
              <w:pStyle w:val="TableParagraph"/>
              <w:rPr>
                <w:sz w:val="24"/>
              </w:rPr>
            </w:pPr>
            <w:r>
              <w:rPr>
                <w:sz w:val="24"/>
              </w:rPr>
              <w:t>$39,800</w:t>
            </w:r>
          </w:p>
        </w:tc>
        <w:tc>
          <w:tcPr>
            <w:tcW w:w="1495" w:type="dxa"/>
          </w:tcPr>
          <w:p w:rsidR="00037022" w:rsidRDefault="0064117E">
            <w:pPr>
              <w:pStyle w:val="TableParagraph"/>
              <w:rPr>
                <w:sz w:val="24"/>
              </w:rPr>
            </w:pPr>
            <w:r>
              <w:rPr>
                <w:sz w:val="24"/>
              </w:rPr>
              <w:t>$63,700</w:t>
            </w:r>
          </w:p>
        </w:tc>
        <w:tc>
          <w:tcPr>
            <w:tcW w:w="1498" w:type="dxa"/>
          </w:tcPr>
          <w:p w:rsidR="00037022" w:rsidRDefault="0064117E">
            <w:pPr>
              <w:pStyle w:val="TableParagraph"/>
              <w:rPr>
                <w:sz w:val="24"/>
              </w:rPr>
            </w:pPr>
            <w:r>
              <w:rPr>
                <w:sz w:val="24"/>
              </w:rPr>
              <w:t>$79,600</w:t>
            </w:r>
          </w:p>
        </w:tc>
        <w:tc>
          <w:tcPr>
            <w:tcW w:w="1498" w:type="dxa"/>
          </w:tcPr>
          <w:p w:rsidR="00037022" w:rsidRDefault="0064117E">
            <w:pPr>
              <w:pStyle w:val="TableParagraph"/>
              <w:ind w:right="85"/>
              <w:rPr>
                <w:sz w:val="24"/>
              </w:rPr>
            </w:pPr>
            <w:r>
              <w:rPr>
                <w:sz w:val="24"/>
              </w:rPr>
              <w:t>$95,520</w:t>
            </w:r>
          </w:p>
        </w:tc>
      </w:tr>
      <w:tr w:rsidR="00037022">
        <w:trPr>
          <w:trHeight w:val="510"/>
        </w:trPr>
        <w:tc>
          <w:tcPr>
            <w:tcW w:w="1543" w:type="dxa"/>
          </w:tcPr>
          <w:p w:rsidR="00037022" w:rsidRDefault="0064117E">
            <w:pPr>
              <w:pStyle w:val="TableParagraph"/>
              <w:spacing w:before="176" w:line="240" w:lineRule="auto"/>
              <w:ind w:left="97" w:right="0"/>
              <w:jc w:val="left"/>
              <w:rPr>
                <w:sz w:val="24"/>
              </w:rPr>
            </w:pPr>
            <w:r>
              <w:rPr>
                <w:sz w:val="24"/>
              </w:rPr>
              <w:t>2</w:t>
            </w:r>
          </w:p>
        </w:tc>
        <w:tc>
          <w:tcPr>
            <w:tcW w:w="1496" w:type="dxa"/>
          </w:tcPr>
          <w:p w:rsidR="00037022" w:rsidRDefault="0064117E">
            <w:pPr>
              <w:pStyle w:val="TableParagraph"/>
              <w:rPr>
                <w:sz w:val="24"/>
              </w:rPr>
            </w:pPr>
            <w:r>
              <w:rPr>
                <w:sz w:val="24"/>
              </w:rPr>
              <w:t>$27,300</w:t>
            </w:r>
          </w:p>
        </w:tc>
        <w:tc>
          <w:tcPr>
            <w:tcW w:w="1493" w:type="dxa"/>
          </w:tcPr>
          <w:p w:rsidR="00037022" w:rsidRDefault="0064117E">
            <w:pPr>
              <w:pStyle w:val="TableParagraph"/>
              <w:rPr>
                <w:sz w:val="24"/>
              </w:rPr>
            </w:pPr>
            <w:r>
              <w:rPr>
                <w:sz w:val="24"/>
              </w:rPr>
              <w:t>$45,500</w:t>
            </w:r>
          </w:p>
        </w:tc>
        <w:tc>
          <w:tcPr>
            <w:tcW w:w="1495" w:type="dxa"/>
          </w:tcPr>
          <w:p w:rsidR="00037022" w:rsidRDefault="0064117E">
            <w:pPr>
              <w:pStyle w:val="TableParagraph"/>
              <w:rPr>
                <w:sz w:val="24"/>
              </w:rPr>
            </w:pPr>
            <w:r>
              <w:rPr>
                <w:sz w:val="24"/>
              </w:rPr>
              <w:t>$72,800</w:t>
            </w:r>
          </w:p>
        </w:tc>
        <w:tc>
          <w:tcPr>
            <w:tcW w:w="1498" w:type="dxa"/>
          </w:tcPr>
          <w:p w:rsidR="00037022" w:rsidRDefault="0064117E">
            <w:pPr>
              <w:pStyle w:val="TableParagraph"/>
              <w:rPr>
                <w:sz w:val="24"/>
              </w:rPr>
            </w:pPr>
            <w:r>
              <w:rPr>
                <w:sz w:val="24"/>
              </w:rPr>
              <w:t>$91,000</w:t>
            </w:r>
          </w:p>
        </w:tc>
        <w:tc>
          <w:tcPr>
            <w:tcW w:w="1498" w:type="dxa"/>
          </w:tcPr>
          <w:p w:rsidR="00037022" w:rsidRDefault="0064117E">
            <w:pPr>
              <w:pStyle w:val="TableParagraph"/>
              <w:ind w:right="85"/>
              <w:rPr>
                <w:sz w:val="24"/>
              </w:rPr>
            </w:pPr>
            <w:r>
              <w:rPr>
                <w:sz w:val="24"/>
              </w:rPr>
              <w:t>$109,200</w:t>
            </w:r>
          </w:p>
        </w:tc>
      </w:tr>
      <w:tr w:rsidR="00037022">
        <w:trPr>
          <w:trHeight w:val="510"/>
        </w:trPr>
        <w:tc>
          <w:tcPr>
            <w:tcW w:w="1543" w:type="dxa"/>
          </w:tcPr>
          <w:p w:rsidR="00037022" w:rsidRDefault="0064117E">
            <w:pPr>
              <w:pStyle w:val="TableParagraph"/>
              <w:spacing w:before="176" w:line="240" w:lineRule="auto"/>
              <w:ind w:left="97" w:right="0"/>
              <w:jc w:val="left"/>
              <w:rPr>
                <w:sz w:val="24"/>
              </w:rPr>
            </w:pPr>
            <w:r>
              <w:rPr>
                <w:sz w:val="24"/>
              </w:rPr>
              <w:t>3</w:t>
            </w:r>
          </w:p>
        </w:tc>
        <w:tc>
          <w:tcPr>
            <w:tcW w:w="1496" w:type="dxa"/>
          </w:tcPr>
          <w:p w:rsidR="00037022" w:rsidRDefault="0064117E">
            <w:pPr>
              <w:pStyle w:val="TableParagraph"/>
              <w:rPr>
                <w:sz w:val="24"/>
              </w:rPr>
            </w:pPr>
            <w:r>
              <w:rPr>
                <w:sz w:val="24"/>
              </w:rPr>
              <w:t>$30,700</w:t>
            </w:r>
          </w:p>
        </w:tc>
        <w:tc>
          <w:tcPr>
            <w:tcW w:w="1493" w:type="dxa"/>
          </w:tcPr>
          <w:p w:rsidR="00037022" w:rsidRDefault="0064117E">
            <w:pPr>
              <w:pStyle w:val="TableParagraph"/>
              <w:rPr>
                <w:sz w:val="24"/>
              </w:rPr>
            </w:pPr>
            <w:r>
              <w:rPr>
                <w:sz w:val="24"/>
              </w:rPr>
              <w:t>$51,200</w:t>
            </w:r>
          </w:p>
        </w:tc>
        <w:tc>
          <w:tcPr>
            <w:tcW w:w="1495" w:type="dxa"/>
          </w:tcPr>
          <w:p w:rsidR="00037022" w:rsidRDefault="0064117E">
            <w:pPr>
              <w:pStyle w:val="TableParagraph"/>
              <w:rPr>
                <w:sz w:val="24"/>
              </w:rPr>
            </w:pPr>
            <w:r>
              <w:rPr>
                <w:sz w:val="24"/>
              </w:rPr>
              <w:t>$81,900</w:t>
            </w:r>
          </w:p>
        </w:tc>
        <w:tc>
          <w:tcPr>
            <w:tcW w:w="1498" w:type="dxa"/>
          </w:tcPr>
          <w:p w:rsidR="00037022" w:rsidRDefault="0064117E">
            <w:pPr>
              <w:pStyle w:val="TableParagraph"/>
              <w:rPr>
                <w:sz w:val="24"/>
              </w:rPr>
            </w:pPr>
            <w:r>
              <w:rPr>
                <w:sz w:val="24"/>
              </w:rPr>
              <w:t>$102,400</w:t>
            </w:r>
          </w:p>
        </w:tc>
        <w:tc>
          <w:tcPr>
            <w:tcW w:w="1498" w:type="dxa"/>
          </w:tcPr>
          <w:p w:rsidR="00037022" w:rsidRDefault="0064117E">
            <w:pPr>
              <w:pStyle w:val="TableParagraph"/>
              <w:ind w:right="85"/>
              <w:rPr>
                <w:sz w:val="24"/>
              </w:rPr>
            </w:pPr>
            <w:r>
              <w:rPr>
                <w:sz w:val="24"/>
              </w:rPr>
              <w:t>$122,880</w:t>
            </w:r>
          </w:p>
        </w:tc>
      </w:tr>
      <w:tr w:rsidR="00037022">
        <w:trPr>
          <w:trHeight w:val="510"/>
        </w:trPr>
        <w:tc>
          <w:tcPr>
            <w:tcW w:w="1543" w:type="dxa"/>
          </w:tcPr>
          <w:p w:rsidR="00037022" w:rsidRDefault="0064117E">
            <w:pPr>
              <w:pStyle w:val="TableParagraph"/>
              <w:spacing w:before="176" w:line="240" w:lineRule="auto"/>
              <w:ind w:left="97" w:right="0"/>
              <w:jc w:val="left"/>
              <w:rPr>
                <w:sz w:val="24"/>
              </w:rPr>
            </w:pPr>
            <w:r>
              <w:rPr>
                <w:sz w:val="24"/>
              </w:rPr>
              <w:t>4</w:t>
            </w:r>
          </w:p>
        </w:tc>
        <w:tc>
          <w:tcPr>
            <w:tcW w:w="1496" w:type="dxa"/>
          </w:tcPr>
          <w:p w:rsidR="00037022" w:rsidRDefault="0064117E">
            <w:pPr>
              <w:pStyle w:val="TableParagraph"/>
              <w:rPr>
                <w:sz w:val="24"/>
              </w:rPr>
            </w:pPr>
            <w:r>
              <w:rPr>
                <w:sz w:val="24"/>
              </w:rPr>
              <w:t>$34,100</w:t>
            </w:r>
          </w:p>
        </w:tc>
        <w:tc>
          <w:tcPr>
            <w:tcW w:w="1493" w:type="dxa"/>
          </w:tcPr>
          <w:p w:rsidR="00037022" w:rsidRDefault="0064117E">
            <w:pPr>
              <w:pStyle w:val="TableParagraph"/>
              <w:rPr>
                <w:sz w:val="24"/>
              </w:rPr>
            </w:pPr>
            <w:r>
              <w:rPr>
                <w:sz w:val="24"/>
              </w:rPr>
              <w:t>$56,850</w:t>
            </w:r>
          </w:p>
        </w:tc>
        <w:tc>
          <w:tcPr>
            <w:tcW w:w="1495" w:type="dxa"/>
          </w:tcPr>
          <w:p w:rsidR="00037022" w:rsidRDefault="0064117E">
            <w:pPr>
              <w:pStyle w:val="TableParagraph"/>
              <w:rPr>
                <w:sz w:val="24"/>
              </w:rPr>
            </w:pPr>
            <w:r>
              <w:rPr>
                <w:sz w:val="24"/>
              </w:rPr>
              <w:t>$90,950</w:t>
            </w:r>
          </w:p>
        </w:tc>
        <w:tc>
          <w:tcPr>
            <w:tcW w:w="1498" w:type="dxa"/>
          </w:tcPr>
          <w:p w:rsidR="00037022" w:rsidRDefault="0064117E">
            <w:pPr>
              <w:pStyle w:val="TableParagraph"/>
              <w:rPr>
                <w:sz w:val="24"/>
              </w:rPr>
            </w:pPr>
            <w:r>
              <w:rPr>
                <w:sz w:val="24"/>
              </w:rPr>
              <w:t>$113,700</w:t>
            </w:r>
          </w:p>
        </w:tc>
        <w:tc>
          <w:tcPr>
            <w:tcW w:w="1498" w:type="dxa"/>
          </w:tcPr>
          <w:p w:rsidR="00037022" w:rsidRDefault="0064117E">
            <w:pPr>
              <w:pStyle w:val="TableParagraph"/>
              <w:ind w:right="85"/>
              <w:rPr>
                <w:sz w:val="24"/>
              </w:rPr>
            </w:pPr>
            <w:r>
              <w:rPr>
                <w:sz w:val="24"/>
              </w:rPr>
              <w:t>$136,440</w:t>
            </w:r>
          </w:p>
        </w:tc>
      </w:tr>
      <w:tr w:rsidR="00037022">
        <w:trPr>
          <w:trHeight w:val="510"/>
        </w:trPr>
        <w:tc>
          <w:tcPr>
            <w:tcW w:w="1543" w:type="dxa"/>
          </w:tcPr>
          <w:p w:rsidR="00037022" w:rsidRDefault="0064117E">
            <w:pPr>
              <w:pStyle w:val="TableParagraph"/>
              <w:spacing w:before="176" w:line="240" w:lineRule="auto"/>
              <w:ind w:left="97" w:right="0"/>
              <w:jc w:val="left"/>
              <w:rPr>
                <w:sz w:val="24"/>
              </w:rPr>
            </w:pPr>
            <w:r>
              <w:rPr>
                <w:sz w:val="24"/>
              </w:rPr>
              <w:t>5</w:t>
            </w:r>
          </w:p>
        </w:tc>
        <w:tc>
          <w:tcPr>
            <w:tcW w:w="1496" w:type="dxa"/>
          </w:tcPr>
          <w:p w:rsidR="00037022" w:rsidRDefault="0064117E">
            <w:pPr>
              <w:pStyle w:val="TableParagraph"/>
              <w:rPr>
                <w:sz w:val="24"/>
              </w:rPr>
            </w:pPr>
            <w:r>
              <w:rPr>
                <w:sz w:val="24"/>
              </w:rPr>
              <w:t>$36,850</w:t>
            </w:r>
          </w:p>
        </w:tc>
        <w:tc>
          <w:tcPr>
            <w:tcW w:w="1493" w:type="dxa"/>
          </w:tcPr>
          <w:p w:rsidR="00037022" w:rsidRDefault="0064117E">
            <w:pPr>
              <w:pStyle w:val="TableParagraph"/>
              <w:rPr>
                <w:sz w:val="24"/>
              </w:rPr>
            </w:pPr>
            <w:r>
              <w:rPr>
                <w:sz w:val="24"/>
              </w:rPr>
              <w:t>$61,400</w:t>
            </w:r>
          </w:p>
        </w:tc>
        <w:tc>
          <w:tcPr>
            <w:tcW w:w="1495" w:type="dxa"/>
          </w:tcPr>
          <w:p w:rsidR="00037022" w:rsidRDefault="0064117E">
            <w:pPr>
              <w:pStyle w:val="TableParagraph"/>
              <w:rPr>
                <w:sz w:val="24"/>
              </w:rPr>
            </w:pPr>
            <w:r>
              <w:rPr>
                <w:sz w:val="24"/>
              </w:rPr>
              <w:t>$98,250</w:t>
            </w:r>
          </w:p>
        </w:tc>
        <w:tc>
          <w:tcPr>
            <w:tcW w:w="1498" w:type="dxa"/>
          </w:tcPr>
          <w:p w:rsidR="00037022" w:rsidRDefault="0064117E">
            <w:pPr>
              <w:pStyle w:val="TableParagraph"/>
              <w:rPr>
                <w:sz w:val="24"/>
              </w:rPr>
            </w:pPr>
            <w:r>
              <w:rPr>
                <w:sz w:val="24"/>
              </w:rPr>
              <w:t>$122,800</w:t>
            </w:r>
          </w:p>
        </w:tc>
        <w:tc>
          <w:tcPr>
            <w:tcW w:w="1498" w:type="dxa"/>
          </w:tcPr>
          <w:p w:rsidR="00037022" w:rsidRDefault="0064117E">
            <w:pPr>
              <w:pStyle w:val="TableParagraph"/>
              <w:ind w:right="85"/>
              <w:rPr>
                <w:sz w:val="24"/>
              </w:rPr>
            </w:pPr>
            <w:r>
              <w:rPr>
                <w:sz w:val="24"/>
              </w:rPr>
              <w:t>$147,360</w:t>
            </w:r>
          </w:p>
        </w:tc>
      </w:tr>
      <w:tr w:rsidR="00037022">
        <w:trPr>
          <w:trHeight w:val="510"/>
        </w:trPr>
        <w:tc>
          <w:tcPr>
            <w:tcW w:w="1543" w:type="dxa"/>
          </w:tcPr>
          <w:p w:rsidR="00037022" w:rsidRDefault="0064117E">
            <w:pPr>
              <w:pStyle w:val="TableParagraph"/>
              <w:spacing w:before="176" w:line="240" w:lineRule="auto"/>
              <w:ind w:left="97" w:right="0"/>
              <w:jc w:val="left"/>
              <w:rPr>
                <w:sz w:val="24"/>
              </w:rPr>
            </w:pPr>
            <w:r>
              <w:rPr>
                <w:sz w:val="24"/>
              </w:rPr>
              <w:t>6</w:t>
            </w:r>
          </w:p>
        </w:tc>
        <w:tc>
          <w:tcPr>
            <w:tcW w:w="1496" w:type="dxa"/>
          </w:tcPr>
          <w:p w:rsidR="00037022" w:rsidRDefault="0064117E">
            <w:pPr>
              <w:pStyle w:val="TableParagraph"/>
              <w:rPr>
                <w:sz w:val="24"/>
              </w:rPr>
            </w:pPr>
            <w:r>
              <w:rPr>
                <w:sz w:val="24"/>
              </w:rPr>
              <w:t>$39,600</w:t>
            </w:r>
          </w:p>
        </w:tc>
        <w:tc>
          <w:tcPr>
            <w:tcW w:w="1493" w:type="dxa"/>
          </w:tcPr>
          <w:p w:rsidR="00037022" w:rsidRDefault="0064117E">
            <w:pPr>
              <w:pStyle w:val="TableParagraph"/>
              <w:rPr>
                <w:sz w:val="24"/>
              </w:rPr>
            </w:pPr>
            <w:r>
              <w:rPr>
                <w:sz w:val="24"/>
              </w:rPr>
              <w:t>$65,950</w:t>
            </w:r>
          </w:p>
        </w:tc>
        <w:tc>
          <w:tcPr>
            <w:tcW w:w="1495" w:type="dxa"/>
          </w:tcPr>
          <w:p w:rsidR="00037022" w:rsidRDefault="0064117E">
            <w:pPr>
              <w:pStyle w:val="TableParagraph"/>
              <w:rPr>
                <w:sz w:val="24"/>
              </w:rPr>
            </w:pPr>
            <w:r>
              <w:rPr>
                <w:sz w:val="24"/>
              </w:rPr>
              <w:t>$105,550</w:t>
            </w:r>
          </w:p>
        </w:tc>
        <w:tc>
          <w:tcPr>
            <w:tcW w:w="1498" w:type="dxa"/>
          </w:tcPr>
          <w:p w:rsidR="00037022" w:rsidRDefault="0064117E">
            <w:pPr>
              <w:pStyle w:val="TableParagraph"/>
              <w:rPr>
                <w:sz w:val="24"/>
              </w:rPr>
            </w:pPr>
            <w:r>
              <w:rPr>
                <w:sz w:val="24"/>
              </w:rPr>
              <w:t>$131,900</w:t>
            </w:r>
          </w:p>
        </w:tc>
        <w:tc>
          <w:tcPr>
            <w:tcW w:w="1498" w:type="dxa"/>
          </w:tcPr>
          <w:p w:rsidR="00037022" w:rsidRDefault="0064117E">
            <w:pPr>
              <w:pStyle w:val="TableParagraph"/>
              <w:ind w:right="85"/>
              <w:rPr>
                <w:sz w:val="24"/>
              </w:rPr>
            </w:pPr>
            <w:r>
              <w:rPr>
                <w:sz w:val="24"/>
              </w:rPr>
              <w:t>$155,280</w:t>
            </w:r>
          </w:p>
        </w:tc>
      </w:tr>
      <w:tr w:rsidR="00037022">
        <w:trPr>
          <w:trHeight w:val="510"/>
        </w:trPr>
        <w:tc>
          <w:tcPr>
            <w:tcW w:w="1543" w:type="dxa"/>
          </w:tcPr>
          <w:p w:rsidR="00037022" w:rsidRDefault="0064117E">
            <w:pPr>
              <w:pStyle w:val="TableParagraph"/>
              <w:spacing w:before="176" w:line="240" w:lineRule="auto"/>
              <w:ind w:left="97" w:right="0"/>
              <w:jc w:val="left"/>
              <w:rPr>
                <w:sz w:val="24"/>
              </w:rPr>
            </w:pPr>
            <w:r>
              <w:rPr>
                <w:sz w:val="24"/>
              </w:rPr>
              <w:t>7</w:t>
            </w:r>
          </w:p>
        </w:tc>
        <w:tc>
          <w:tcPr>
            <w:tcW w:w="1496" w:type="dxa"/>
          </w:tcPr>
          <w:p w:rsidR="00037022" w:rsidRDefault="0064117E">
            <w:pPr>
              <w:pStyle w:val="TableParagraph"/>
              <w:rPr>
                <w:sz w:val="24"/>
              </w:rPr>
            </w:pPr>
            <w:r>
              <w:rPr>
                <w:sz w:val="24"/>
              </w:rPr>
              <w:t>$42,300</w:t>
            </w:r>
          </w:p>
        </w:tc>
        <w:tc>
          <w:tcPr>
            <w:tcW w:w="1493" w:type="dxa"/>
          </w:tcPr>
          <w:p w:rsidR="00037022" w:rsidRDefault="0064117E">
            <w:pPr>
              <w:pStyle w:val="TableParagraph"/>
              <w:rPr>
                <w:sz w:val="24"/>
              </w:rPr>
            </w:pPr>
            <w:r>
              <w:rPr>
                <w:sz w:val="24"/>
              </w:rPr>
              <w:t>$70,500</w:t>
            </w:r>
          </w:p>
        </w:tc>
        <w:tc>
          <w:tcPr>
            <w:tcW w:w="1495" w:type="dxa"/>
          </w:tcPr>
          <w:p w:rsidR="00037022" w:rsidRDefault="0064117E">
            <w:pPr>
              <w:pStyle w:val="TableParagraph"/>
              <w:rPr>
                <w:sz w:val="24"/>
              </w:rPr>
            </w:pPr>
            <w:r>
              <w:rPr>
                <w:sz w:val="24"/>
              </w:rPr>
              <w:t>$112,800</w:t>
            </w:r>
          </w:p>
        </w:tc>
        <w:tc>
          <w:tcPr>
            <w:tcW w:w="1498" w:type="dxa"/>
          </w:tcPr>
          <w:p w:rsidR="00037022" w:rsidRDefault="0064117E">
            <w:pPr>
              <w:pStyle w:val="TableParagraph"/>
              <w:rPr>
                <w:sz w:val="24"/>
              </w:rPr>
            </w:pPr>
            <w:r>
              <w:rPr>
                <w:sz w:val="24"/>
              </w:rPr>
              <w:t>$141,000</w:t>
            </w:r>
          </w:p>
        </w:tc>
        <w:tc>
          <w:tcPr>
            <w:tcW w:w="1498" w:type="dxa"/>
          </w:tcPr>
          <w:p w:rsidR="00037022" w:rsidRDefault="0064117E">
            <w:pPr>
              <w:pStyle w:val="TableParagraph"/>
              <w:ind w:right="85"/>
              <w:rPr>
                <w:sz w:val="24"/>
              </w:rPr>
            </w:pPr>
            <w:r>
              <w:rPr>
                <w:sz w:val="24"/>
              </w:rPr>
              <w:t>$169,200</w:t>
            </w:r>
          </w:p>
        </w:tc>
      </w:tr>
      <w:tr w:rsidR="00037022">
        <w:trPr>
          <w:trHeight w:val="510"/>
        </w:trPr>
        <w:tc>
          <w:tcPr>
            <w:tcW w:w="1543" w:type="dxa"/>
          </w:tcPr>
          <w:p w:rsidR="00037022" w:rsidRDefault="0064117E">
            <w:pPr>
              <w:pStyle w:val="TableParagraph"/>
              <w:spacing w:before="176" w:line="240" w:lineRule="auto"/>
              <w:ind w:left="97" w:right="0"/>
              <w:jc w:val="left"/>
              <w:rPr>
                <w:sz w:val="24"/>
              </w:rPr>
            </w:pPr>
            <w:r>
              <w:rPr>
                <w:sz w:val="24"/>
              </w:rPr>
              <w:t>8</w:t>
            </w:r>
          </w:p>
        </w:tc>
        <w:tc>
          <w:tcPr>
            <w:tcW w:w="1496" w:type="dxa"/>
          </w:tcPr>
          <w:p w:rsidR="00037022" w:rsidRDefault="0064117E">
            <w:pPr>
              <w:pStyle w:val="TableParagraph"/>
              <w:rPr>
                <w:sz w:val="24"/>
              </w:rPr>
            </w:pPr>
            <w:r>
              <w:rPr>
                <w:sz w:val="24"/>
              </w:rPr>
              <w:t>$45,050</w:t>
            </w:r>
          </w:p>
        </w:tc>
        <w:tc>
          <w:tcPr>
            <w:tcW w:w="1493" w:type="dxa"/>
          </w:tcPr>
          <w:p w:rsidR="00037022" w:rsidRDefault="0064117E">
            <w:pPr>
              <w:pStyle w:val="TableParagraph"/>
              <w:rPr>
                <w:sz w:val="24"/>
              </w:rPr>
            </w:pPr>
            <w:r>
              <w:rPr>
                <w:sz w:val="24"/>
              </w:rPr>
              <w:t>$75,050</w:t>
            </w:r>
          </w:p>
        </w:tc>
        <w:tc>
          <w:tcPr>
            <w:tcW w:w="1495" w:type="dxa"/>
          </w:tcPr>
          <w:p w:rsidR="00037022" w:rsidRDefault="0064117E">
            <w:pPr>
              <w:pStyle w:val="TableParagraph"/>
              <w:rPr>
                <w:sz w:val="24"/>
              </w:rPr>
            </w:pPr>
            <w:r>
              <w:rPr>
                <w:sz w:val="24"/>
              </w:rPr>
              <w:t>$120,100</w:t>
            </w:r>
          </w:p>
        </w:tc>
        <w:tc>
          <w:tcPr>
            <w:tcW w:w="1498" w:type="dxa"/>
          </w:tcPr>
          <w:p w:rsidR="00037022" w:rsidRDefault="0064117E">
            <w:pPr>
              <w:pStyle w:val="TableParagraph"/>
              <w:rPr>
                <w:sz w:val="24"/>
              </w:rPr>
            </w:pPr>
            <w:r>
              <w:rPr>
                <w:sz w:val="24"/>
              </w:rPr>
              <w:t>$150,100</w:t>
            </w:r>
          </w:p>
        </w:tc>
        <w:tc>
          <w:tcPr>
            <w:tcW w:w="1498" w:type="dxa"/>
          </w:tcPr>
          <w:p w:rsidR="00037022" w:rsidRDefault="0064117E">
            <w:pPr>
              <w:pStyle w:val="TableParagraph"/>
              <w:ind w:right="85"/>
              <w:rPr>
                <w:sz w:val="24"/>
              </w:rPr>
            </w:pPr>
            <w:r>
              <w:rPr>
                <w:sz w:val="24"/>
              </w:rPr>
              <w:t>$180,120</w:t>
            </w:r>
          </w:p>
        </w:tc>
      </w:tr>
    </w:tbl>
    <w:p w:rsidR="00037022" w:rsidRDefault="00037022">
      <w:pPr>
        <w:pStyle w:val="BodyText"/>
        <w:rPr>
          <w:sz w:val="26"/>
        </w:rPr>
      </w:pPr>
    </w:p>
    <w:p w:rsidR="00037022" w:rsidRDefault="00037022">
      <w:pPr>
        <w:pStyle w:val="BodyText"/>
        <w:rPr>
          <w:sz w:val="26"/>
        </w:rPr>
      </w:pPr>
    </w:p>
    <w:p w:rsidR="00037022" w:rsidRDefault="00037022">
      <w:pPr>
        <w:pStyle w:val="BodyText"/>
        <w:spacing w:before="4"/>
        <w:rPr>
          <w:sz w:val="28"/>
        </w:rPr>
      </w:pPr>
    </w:p>
    <w:p w:rsidR="00037022" w:rsidRDefault="0064117E">
      <w:pPr>
        <w:ind w:left="820"/>
        <w:rPr>
          <w:sz w:val="20"/>
        </w:rPr>
      </w:pPr>
      <w:r>
        <w:rPr>
          <w:sz w:val="20"/>
        </w:rPr>
        <w:t>The median income for New York, NY Metropolitan Area is $78,700.</w:t>
      </w:r>
    </w:p>
    <w:sectPr w:rsidR="00037022">
      <w:pgSz w:w="12240" w:h="15840"/>
      <w:pgMar w:top="1000" w:right="96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17E" w:rsidRDefault="0064117E" w:rsidP="0064117E">
      <w:r>
        <w:separator/>
      </w:r>
    </w:p>
  </w:endnote>
  <w:endnote w:type="continuationSeparator" w:id="0">
    <w:p w:rsidR="0064117E" w:rsidRDefault="0064117E" w:rsidP="0064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17E" w:rsidRDefault="0064117E" w:rsidP="0064117E">
      <w:r>
        <w:separator/>
      </w:r>
    </w:p>
  </w:footnote>
  <w:footnote w:type="continuationSeparator" w:id="0">
    <w:p w:rsidR="0064117E" w:rsidRDefault="0064117E" w:rsidP="00641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17E" w:rsidRDefault="0064117E">
    <w:pPr>
      <w:pStyle w:val="Header"/>
    </w:pPr>
    <w:r>
      <w:rPr>
        <w:noProof/>
        <w:lang w:bidi="ar-SA"/>
      </w:rPr>
      <w:drawing>
        <wp:inline distT="0" distB="0" distL="0" distR="0">
          <wp:extent cx="810912"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AB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509" cy="2630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37022"/>
    <w:rsid w:val="00037022"/>
    <w:rsid w:val="0064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BFCF3-E57E-4480-B8DE-A7880621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7" w:lineRule="exact"/>
      <w:ind w:right="88"/>
      <w:jc w:val="right"/>
    </w:pPr>
  </w:style>
  <w:style w:type="paragraph" w:styleId="Header">
    <w:name w:val="header"/>
    <w:basedOn w:val="Normal"/>
    <w:link w:val="HeaderChar"/>
    <w:uiPriority w:val="99"/>
    <w:unhideWhenUsed/>
    <w:rsid w:val="0064117E"/>
    <w:pPr>
      <w:tabs>
        <w:tab w:val="center" w:pos="4680"/>
        <w:tab w:val="right" w:pos="9360"/>
      </w:tabs>
    </w:pPr>
  </w:style>
  <w:style w:type="character" w:customStyle="1" w:styleId="HeaderChar">
    <w:name w:val="Header Char"/>
    <w:basedOn w:val="DefaultParagraphFont"/>
    <w:link w:val="Header"/>
    <w:uiPriority w:val="99"/>
    <w:rsid w:val="0064117E"/>
    <w:rPr>
      <w:rFonts w:ascii="Times New Roman" w:eastAsia="Times New Roman" w:hAnsi="Times New Roman" w:cs="Times New Roman"/>
      <w:lang w:bidi="en-US"/>
    </w:rPr>
  </w:style>
  <w:style w:type="paragraph" w:styleId="Footer">
    <w:name w:val="footer"/>
    <w:basedOn w:val="Normal"/>
    <w:link w:val="FooterChar"/>
    <w:uiPriority w:val="99"/>
    <w:unhideWhenUsed/>
    <w:rsid w:val="0064117E"/>
    <w:pPr>
      <w:tabs>
        <w:tab w:val="center" w:pos="4680"/>
        <w:tab w:val="right" w:pos="9360"/>
      </w:tabs>
    </w:pPr>
  </w:style>
  <w:style w:type="character" w:customStyle="1" w:styleId="FooterChar">
    <w:name w:val="Footer Char"/>
    <w:basedOn w:val="DefaultParagraphFont"/>
    <w:link w:val="Footer"/>
    <w:uiPriority w:val="99"/>
    <w:rsid w:val="0064117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2700</Characters>
  <Application>Microsoft Office Word</Application>
  <DocSecurity>0</DocSecurity>
  <Lines>22</Lines>
  <Paragraphs>6</Paragraphs>
  <ScaleCrop>false</ScaleCrop>
  <Company>UHAB</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Limits</dc:title>
  <dc:creator>ng</dc:creator>
  <cp:lastModifiedBy>Clara Weinstein</cp:lastModifiedBy>
  <cp:revision>2</cp:revision>
  <dcterms:created xsi:type="dcterms:W3CDTF">2020-08-20T12:07:00Z</dcterms:created>
  <dcterms:modified xsi:type="dcterms:W3CDTF">2020-08-20T12:15:00Z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2013</vt:lpwstr>
  </property>
  <property fmtid="{D5CDD505-2E9C-101B-9397-08002B2CF9AE}" pid="4" name="LastSaved">
    <vt:filetime>2020-08-20T00:00:00Z</vt:filetime>
  </property>
</Properties>
</file>